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421" w:rsidRPr="000E0421" w:rsidRDefault="00016CC4" w:rsidP="009E6BEE">
      <w:pPr>
        <w:pStyle w:val="ListParagraph"/>
        <w:ind w:left="0"/>
        <w:jc w:val="both"/>
        <w:rPr>
          <w:b/>
          <w:bCs/>
          <w:shd w:val="clear" w:color="auto" w:fill="FFFFFF"/>
        </w:rPr>
      </w:pPr>
      <w:r w:rsidRPr="000E0421">
        <w:rPr>
          <w:b/>
        </w:rPr>
        <w:t xml:space="preserve">Pursuant to Florida Statue </w:t>
      </w:r>
      <w:r w:rsidRPr="000E0421">
        <w:rPr>
          <w:b/>
          <w:bCs/>
          <w:shd w:val="clear" w:color="auto" w:fill="FFFFFF"/>
        </w:rPr>
        <w:t>61.13</w:t>
      </w:r>
      <w:r w:rsidR="000E0421">
        <w:rPr>
          <w:b/>
          <w:bCs/>
          <w:shd w:val="clear" w:color="auto" w:fill="FFFFFF"/>
        </w:rPr>
        <w:t>:</w:t>
      </w:r>
      <w:bookmarkStart w:id="0" w:name="_GoBack"/>
      <w:bookmarkEnd w:id="0"/>
    </w:p>
    <w:p w:rsidR="009E6BEE" w:rsidRDefault="009E6BEE" w:rsidP="009E6BEE">
      <w:pPr>
        <w:spacing w:after="0" w:line="240" w:lineRule="auto"/>
        <w:rPr>
          <w:rFonts w:ascii="Times New Roman" w:eastAsia="Times New Roman" w:hAnsi="Times New Roman"/>
          <w:sz w:val="24"/>
          <w:szCs w:val="24"/>
        </w:rPr>
      </w:pPr>
      <w:r>
        <w:rPr>
          <w:rFonts w:ascii="Times New Roman" w:eastAsia="Times New Roman" w:hAnsi="Times New Roman"/>
          <w:sz w:val="24"/>
          <w:szCs w:val="24"/>
          <w:shd w:val="clear" w:color="auto" w:fill="FFFFFF"/>
        </w:rPr>
        <w:t>Determination of the best interests of the child must be made by evaluating all of the factors affecting the welfare and interests of the particular minor child and the circumstances of that family, including, but not limited to:</w:t>
      </w:r>
    </w:p>
    <w:p w:rsidR="009E6BEE" w:rsidRDefault="009E6BEE" w:rsidP="009E6BEE">
      <w:pPr>
        <w:shd w:val="clear" w:color="auto" w:fill="FFFFFF"/>
        <w:spacing w:after="0" w:line="360" w:lineRule="atLeast"/>
        <w:ind w:firstLine="200"/>
        <w:rPr>
          <w:rFonts w:ascii="Times New Roman" w:eastAsia="Times New Roman" w:hAnsi="Times New Roman"/>
          <w:sz w:val="24"/>
          <w:szCs w:val="24"/>
        </w:rPr>
      </w:pPr>
      <w:r>
        <w:rPr>
          <w:rFonts w:ascii="Times New Roman" w:eastAsia="Times New Roman" w:hAnsi="Times New Roman"/>
          <w:sz w:val="24"/>
          <w:szCs w:val="24"/>
        </w:rPr>
        <w:t>(a</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w:t>
      </w:r>
      <w:r>
        <w:rPr>
          <w:rFonts w:ascii="Times New Roman" w:eastAsia="Times New Roman" w:hAnsi="Times New Roman"/>
          <w:sz w:val="24"/>
          <w:szCs w:val="24"/>
        </w:rPr>
        <w:t>The demonstrated capacity and disposition of each parent to facilitate and encourage a close and continuing parent-child relationship, to honor the time-sharing schedule, and to be reasonable when changes are required.</w:t>
      </w:r>
    </w:p>
    <w:p w:rsidR="009E6BEE" w:rsidRDefault="009E6BEE" w:rsidP="009E6BEE">
      <w:pPr>
        <w:shd w:val="clear" w:color="auto" w:fill="FFFFFF"/>
        <w:spacing w:after="0" w:line="360" w:lineRule="atLeast"/>
        <w:ind w:firstLine="200"/>
        <w:rPr>
          <w:rFonts w:ascii="Times New Roman" w:eastAsia="Times New Roman" w:hAnsi="Times New Roman"/>
          <w:sz w:val="24"/>
          <w:szCs w:val="24"/>
        </w:rPr>
      </w:pPr>
      <w:r>
        <w:rPr>
          <w:rFonts w:ascii="Times New Roman" w:eastAsia="Times New Roman" w:hAnsi="Times New Roman"/>
          <w:sz w:val="24"/>
          <w:szCs w:val="24"/>
        </w:rPr>
        <w:t>(</w:t>
      </w:r>
      <w:proofErr w:type="gramStart"/>
      <w:r>
        <w:rPr>
          <w:rFonts w:ascii="Times New Roman" w:eastAsia="Times New Roman" w:hAnsi="Times New Roman"/>
          <w:sz w:val="24"/>
          <w:szCs w:val="24"/>
        </w:rPr>
        <w:t>b</w:t>
      </w:r>
      <w:proofErr w:type="gramEnd"/>
      <w:r>
        <w:rPr>
          <w:rFonts w:ascii="Times New Roman" w:eastAsia="Times New Roman" w:hAnsi="Times New Roman"/>
          <w:sz w:val="24"/>
          <w:szCs w:val="24"/>
        </w:rPr>
        <w:t>)</w:t>
      </w:r>
      <w:r>
        <w:rPr>
          <w:rFonts w:ascii="Times New Roman" w:eastAsia="Times New Roman" w:hAnsi="Times New Roman"/>
          <w:sz w:val="24"/>
          <w:szCs w:val="24"/>
        </w:rPr>
        <w:t> </w:t>
      </w:r>
      <w:r>
        <w:rPr>
          <w:rFonts w:ascii="Times New Roman" w:eastAsia="Times New Roman" w:hAnsi="Times New Roman"/>
          <w:sz w:val="24"/>
          <w:szCs w:val="24"/>
        </w:rPr>
        <w:t>The anticipated division of parental responsibilities after the litigation, including the extent to which parental responsibilities will be delegated to third parties.</w:t>
      </w:r>
    </w:p>
    <w:p w:rsidR="009E6BEE" w:rsidRDefault="009E6BEE" w:rsidP="009E6BEE">
      <w:pPr>
        <w:shd w:val="clear" w:color="auto" w:fill="FFFFFF"/>
        <w:spacing w:after="0" w:line="360" w:lineRule="atLeast"/>
        <w:ind w:firstLine="200"/>
        <w:rPr>
          <w:rFonts w:ascii="Times New Roman" w:eastAsia="Times New Roman" w:hAnsi="Times New Roman"/>
          <w:sz w:val="24"/>
          <w:szCs w:val="24"/>
        </w:rPr>
      </w:pPr>
      <w:r>
        <w:rPr>
          <w:rFonts w:ascii="Times New Roman" w:eastAsia="Times New Roman" w:hAnsi="Times New Roman"/>
          <w:sz w:val="24"/>
          <w:szCs w:val="24"/>
        </w:rPr>
        <w:t>(c</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w:t>
      </w:r>
      <w:r>
        <w:rPr>
          <w:rFonts w:ascii="Times New Roman" w:eastAsia="Times New Roman" w:hAnsi="Times New Roman"/>
          <w:sz w:val="24"/>
          <w:szCs w:val="24"/>
        </w:rPr>
        <w:t>The demonstrated capacity and disposition of each parent to determine, consider, and act upon the needs of the child as opposed to the needs or desires of the parent.</w:t>
      </w:r>
    </w:p>
    <w:p w:rsidR="009E6BEE" w:rsidRDefault="009E6BEE" w:rsidP="009E6BEE">
      <w:pPr>
        <w:shd w:val="clear" w:color="auto" w:fill="FFFFFF"/>
        <w:spacing w:after="0" w:line="360" w:lineRule="atLeast"/>
        <w:ind w:firstLine="200"/>
        <w:rPr>
          <w:rFonts w:ascii="Times New Roman" w:eastAsia="Times New Roman" w:hAnsi="Times New Roman"/>
          <w:sz w:val="24"/>
          <w:szCs w:val="24"/>
        </w:rPr>
      </w:pPr>
      <w:r>
        <w:rPr>
          <w:rFonts w:ascii="Times New Roman" w:eastAsia="Times New Roman" w:hAnsi="Times New Roman"/>
          <w:sz w:val="24"/>
          <w:szCs w:val="24"/>
        </w:rPr>
        <w:t>(d</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w:t>
      </w:r>
      <w:r>
        <w:rPr>
          <w:rFonts w:ascii="Times New Roman" w:eastAsia="Times New Roman" w:hAnsi="Times New Roman"/>
          <w:sz w:val="24"/>
          <w:szCs w:val="24"/>
        </w:rPr>
        <w:t>The length of time the child has lived in a stable, satisfactory environment and the desirability of maintaining continuity.</w:t>
      </w:r>
    </w:p>
    <w:p w:rsidR="009E6BEE" w:rsidRDefault="009E6BEE" w:rsidP="009E6BEE">
      <w:pPr>
        <w:shd w:val="clear" w:color="auto" w:fill="FFFFFF"/>
        <w:spacing w:after="0" w:line="360" w:lineRule="atLeast"/>
        <w:ind w:firstLine="200"/>
        <w:rPr>
          <w:rFonts w:ascii="Times New Roman" w:eastAsia="Times New Roman" w:hAnsi="Times New Roman"/>
          <w:sz w:val="24"/>
          <w:szCs w:val="24"/>
        </w:rPr>
      </w:pPr>
      <w:r>
        <w:rPr>
          <w:rFonts w:ascii="Times New Roman" w:eastAsia="Times New Roman" w:hAnsi="Times New Roman"/>
          <w:sz w:val="24"/>
          <w:szCs w:val="24"/>
        </w:rPr>
        <w:t>(e)</w:t>
      </w:r>
      <w:r>
        <w:rPr>
          <w:rFonts w:ascii="Times New Roman" w:eastAsia="Times New Roman" w:hAnsi="Times New Roman"/>
          <w:sz w:val="24"/>
          <w:szCs w:val="24"/>
        </w:rPr>
        <w:t> </w:t>
      </w:r>
      <w:r>
        <w:rPr>
          <w:rFonts w:ascii="Times New Roman" w:eastAsia="Times New Roman" w:hAnsi="Times New Roman"/>
          <w:sz w:val="24"/>
          <w:szCs w:val="24"/>
        </w:rPr>
        <w:t>The geographic viability of the parenting plan, with special attention paid to the needs of school-age children and the amount of time to be spent traveling to effectuate the parenting plan. This factor does not create a presumption for or against relocation of either parent with a child.</w:t>
      </w:r>
    </w:p>
    <w:p w:rsidR="009E6BEE" w:rsidRDefault="009E6BEE" w:rsidP="009E6BEE">
      <w:pPr>
        <w:shd w:val="clear" w:color="auto" w:fill="FFFFFF"/>
        <w:spacing w:after="0" w:line="360" w:lineRule="atLeast"/>
        <w:ind w:firstLine="200"/>
        <w:rPr>
          <w:rFonts w:ascii="Times New Roman" w:eastAsia="Times New Roman" w:hAnsi="Times New Roman"/>
          <w:sz w:val="24"/>
          <w:szCs w:val="24"/>
        </w:rPr>
      </w:pPr>
      <w:r>
        <w:rPr>
          <w:rFonts w:ascii="Times New Roman" w:eastAsia="Times New Roman" w:hAnsi="Times New Roman"/>
          <w:sz w:val="24"/>
          <w:szCs w:val="24"/>
        </w:rPr>
        <w:t>(</w:t>
      </w:r>
      <w:proofErr w:type="gramStart"/>
      <w:r>
        <w:rPr>
          <w:rFonts w:ascii="Times New Roman" w:eastAsia="Times New Roman" w:hAnsi="Times New Roman"/>
          <w:sz w:val="24"/>
          <w:szCs w:val="24"/>
        </w:rPr>
        <w:t>f</w:t>
      </w:r>
      <w:proofErr w:type="gramEnd"/>
      <w:r>
        <w:rPr>
          <w:rFonts w:ascii="Times New Roman" w:eastAsia="Times New Roman" w:hAnsi="Times New Roman"/>
          <w:sz w:val="24"/>
          <w:szCs w:val="24"/>
        </w:rPr>
        <w:t>)</w:t>
      </w:r>
      <w:r>
        <w:rPr>
          <w:rFonts w:ascii="Times New Roman" w:eastAsia="Times New Roman" w:hAnsi="Times New Roman"/>
          <w:sz w:val="24"/>
          <w:szCs w:val="24"/>
        </w:rPr>
        <w:t> </w:t>
      </w:r>
      <w:r>
        <w:rPr>
          <w:rFonts w:ascii="Times New Roman" w:eastAsia="Times New Roman" w:hAnsi="Times New Roman"/>
          <w:sz w:val="24"/>
          <w:szCs w:val="24"/>
        </w:rPr>
        <w:t>The moral fitness of the parents.</w:t>
      </w:r>
    </w:p>
    <w:p w:rsidR="009E6BEE" w:rsidRDefault="009E6BEE" w:rsidP="009E6BEE">
      <w:pPr>
        <w:shd w:val="clear" w:color="auto" w:fill="FFFFFF"/>
        <w:spacing w:after="0" w:line="360" w:lineRule="atLeast"/>
        <w:ind w:firstLine="200"/>
        <w:rPr>
          <w:rFonts w:ascii="Times New Roman" w:eastAsia="Times New Roman" w:hAnsi="Times New Roman"/>
          <w:sz w:val="24"/>
          <w:szCs w:val="24"/>
        </w:rPr>
      </w:pPr>
      <w:r>
        <w:rPr>
          <w:rFonts w:ascii="Times New Roman" w:eastAsia="Times New Roman" w:hAnsi="Times New Roman"/>
          <w:sz w:val="24"/>
          <w:szCs w:val="24"/>
        </w:rPr>
        <w:t>(</w:t>
      </w:r>
      <w:proofErr w:type="gramStart"/>
      <w:r>
        <w:rPr>
          <w:rFonts w:ascii="Times New Roman" w:eastAsia="Times New Roman" w:hAnsi="Times New Roman"/>
          <w:sz w:val="24"/>
          <w:szCs w:val="24"/>
        </w:rPr>
        <w:t>g</w:t>
      </w:r>
      <w:proofErr w:type="gramEnd"/>
      <w:r>
        <w:rPr>
          <w:rFonts w:ascii="Times New Roman" w:eastAsia="Times New Roman" w:hAnsi="Times New Roman"/>
          <w:sz w:val="24"/>
          <w:szCs w:val="24"/>
        </w:rPr>
        <w:t>)</w:t>
      </w:r>
      <w:r>
        <w:rPr>
          <w:rFonts w:ascii="Times New Roman" w:eastAsia="Times New Roman" w:hAnsi="Times New Roman"/>
          <w:sz w:val="24"/>
          <w:szCs w:val="24"/>
        </w:rPr>
        <w:t> </w:t>
      </w:r>
      <w:r>
        <w:rPr>
          <w:rFonts w:ascii="Times New Roman" w:eastAsia="Times New Roman" w:hAnsi="Times New Roman"/>
          <w:sz w:val="24"/>
          <w:szCs w:val="24"/>
        </w:rPr>
        <w:t>The mental and physical health of the parents.</w:t>
      </w:r>
    </w:p>
    <w:p w:rsidR="009E6BEE" w:rsidRDefault="009E6BEE" w:rsidP="009E6BEE">
      <w:pPr>
        <w:shd w:val="clear" w:color="auto" w:fill="FFFFFF"/>
        <w:spacing w:after="0" w:line="360" w:lineRule="atLeast"/>
        <w:ind w:firstLine="200"/>
        <w:rPr>
          <w:rFonts w:ascii="Times New Roman" w:eastAsia="Times New Roman" w:hAnsi="Times New Roman"/>
          <w:sz w:val="24"/>
          <w:szCs w:val="24"/>
        </w:rPr>
      </w:pPr>
      <w:r>
        <w:rPr>
          <w:rFonts w:ascii="Times New Roman" w:eastAsia="Times New Roman" w:hAnsi="Times New Roman"/>
          <w:sz w:val="24"/>
          <w:szCs w:val="24"/>
        </w:rPr>
        <w:t>(h</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w:t>
      </w:r>
      <w:r>
        <w:rPr>
          <w:rFonts w:ascii="Times New Roman" w:eastAsia="Times New Roman" w:hAnsi="Times New Roman"/>
          <w:sz w:val="24"/>
          <w:szCs w:val="24"/>
        </w:rPr>
        <w:t>The home, school, and community record of the child.</w:t>
      </w:r>
    </w:p>
    <w:p w:rsidR="009E6BEE" w:rsidRDefault="009E6BEE" w:rsidP="009E6BEE">
      <w:pPr>
        <w:shd w:val="clear" w:color="auto" w:fill="FFFFFF"/>
        <w:spacing w:after="0" w:line="360" w:lineRule="atLeast"/>
        <w:ind w:firstLine="200"/>
        <w:rPr>
          <w:rFonts w:ascii="Times New Roman" w:eastAsia="Times New Roman" w:hAnsi="Times New Roman"/>
          <w:sz w:val="24"/>
          <w:szCs w:val="24"/>
        </w:rPr>
      </w:pPr>
      <w:r>
        <w:rPr>
          <w:rFonts w:ascii="Times New Roman" w:eastAsia="Times New Roman" w:hAnsi="Times New Roman"/>
          <w:sz w:val="24"/>
          <w:szCs w:val="24"/>
        </w:rPr>
        <w:t>(</w:t>
      </w:r>
      <w:proofErr w:type="spellStart"/>
      <w:proofErr w:type="gramStart"/>
      <w:r>
        <w:rPr>
          <w:rFonts w:ascii="Times New Roman" w:eastAsia="Times New Roman" w:hAnsi="Times New Roman"/>
          <w:sz w:val="24"/>
          <w:szCs w:val="24"/>
        </w:rPr>
        <w:t>i</w:t>
      </w:r>
      <w:proofErr w:type="spellEnd"/>
      <w:proofErr w:type="gramEnd"/>
      <w:r>
        <w:rPr>
          <w:rFonts w:ascii="Times New Roman" w:eastAsia="Times New Roman" w:hAnsi="Times New Roman"/>
          <w:sz w:val="24"/>
          <w:szCs w:val="24"/>
        </w:rPr>
        <w:t>)</w:t>
      </w:r>
      <w:r>
        <w:rPr>
          <w:rFonts w:ascii="Times New Roman" w:eastAsia="Times New Roman" w:hAnsi="Times New Roman"/>
          <w:sz w:val="24"/>
          <w:szCs w:val="24"/>
        </w:rPr>
        <w:t> </w:t>
      </w:r>
      <w:r>
        <w:rPr>
          <w:rFonts w:ascii="Times New Roman" w:eastAsia="Times New Roman" w:hAnsi="Times New Roman"/>
          <w:sz w:val="24"/>
          <w:szCs w:val="24"/>
        </w:rPr>
        <w:t>The reasonable preference of the child, if the court deems the child to be of sufficient intelligence, understanding, and experience to express a preference.</w:t>
      </w:r>
    </w:p>
    <w:p w:rsidR="009E6BEE" w:rsidRDefault="009E6BEE" w:rsidP="009E6BEE">
      <w:pPr>
        <w:shd w:val="clear" w:color="auto" w:fill="FFFFFF"/>
        <w:spacing w:after="0" w:line="360" w:lineRule="atLeast"/>
        <w:ind w:firstLine="200"/>
        <w:rPr>
          <w:rFonts w:ascii="Times New Roman" w:eastAsia="Times New Roman" w:hAnsi="Times New Roman"/>
          <w:sz w:val="24"/>
          <w:szCs w:val="24"/>
        </w:rPr>
      </w:pPr>
      <w:r>
        <w:rPr>
          <w:rFonts w:ascii="Times New Roman" w:eastAsia="Times New Roman" w:hAnsi="Times New Roman"/>
          <w:sz w:val="24"/>
          <w:szCs w:val="24"/>
        </w:rPr>
        <w:t>(j)</w:t>
      </w:r>
      <w:r>
        <w:rPr>
          <w:rFonts w:ascii="Times New Roman" w:eastAsia="Times New Roman" w:hAnsi="Times New Roman"/>
          <w:sz w:val="24"/>
          <w:szCs w:val="24"/>
        </w:rPr>
        <w:t> </w:t>
      </w:r>
      <w:r>
        <w:rPr>
          <w:rFonts w:ascii="Times New Roman" w:eastAsia="Times New Roman" w:hAnsi="Times New Roman"/>
          <w:sz w:val="24"/>
          <w:szCs w:val="24"/>
        </w:rPr>
        <w:t>The demonstrated knowledge, capacity, and disposition of each parent to be informed of the circumstances of the minor child, including, but not limited to, the child’s friends, teachers, medical care providers, daily activities, and favorite things.</w:t>
      </w:r>
    </w:p>
    <w:p w:rsidR="009E6BEE" w:rsidRDefault="009E6BEE" w:rsidP="009E6BEE">
      <w:pPr>
        <w:shd w:val="clear" w:color="auto" w:fill="FFFFFF"/>
        <w:spacing w:after="0" w:line="360" w:lineRule="atLeast"/>
        <w:ind w:firstLine="200"/>
        <w:rPr>
          <w:rFonts w:ascii="Times New Roman" w:eastAsia="Times New Roman" w:hAnsi="Times New Roman"/>
          <w:sz w:val="24"/>
          <w:szCs w:val="24"/>
        </w:rPr>
      </w:pPr>
      <w:r>
        <w:rPr>
          <w:rFonts w:ascii="Times New Roman" w:eastAsia="Times New Roman" w:hAnsi="Times New Roman"/>
          <w:sz w:val="24"/>
          <w:szCs w:val="24"/>
        </w:rPr>
        <w:t>(k</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w:t>
      </w:r>
      <w:r>
        <w:rPr>
          <w:rFonts w:ascii="Times New Roman" w:eastAsia="Times New Roman" w:hAnsi="Times New Roman"/>
          <w:sz w:val="24"/>
          <w:szCs w:val="24"/>
        </w:rPr>
        <w:t>The demonstrated capacity and disposition of each parent to provide a consistent routine for the child, such as discipline, and daily schedules for homework, meals, and bedtime.</w:t>
      </w:r>
    </w:p>
    <w:p w:rsidR="009E6BEE" w:rsidRDefault="009E6BEE" w:rsidP="009E6BEE">
      <w:pPr>
        <w:shd w:val="clear" w:color="auto" w:fill="FFFFFF"/>
        <w:spacing w:after="0" w:line="360" w:lineRule="atLeast"/>
        <w:ind w:firstLine="200"/>
        <w:rPr>
          <w:rFonts w:ascii="Times New Roman" w:eastAsia="Times New Roman" w:hAnsi="Times New Roman"/>
          <w:sz w:val="24"/>
          <w:szCs w:val="24"/>
        </w:rPr>
      </w:pPr>
      <w:r>
        <w:rPr>
          <w:rFonts w:ascii="Times New Roman" w:eastAsia="Times New Roman" w:hAnsi="Times New Roman"/>
          <w:sz w:val="24"/>
          <w:szCs w:val="24"/>
        </w:rPr>
        <w:t>(l</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w:t>
      </w:r>
      <w:r>
        <w:rPr>
          <w:rFonts w:ascii="Times New Roman" w:eastAsia="Times New Roman" w:hAnsi="Times New Roman"/>
          <w:sz w:val="24"/>
          <w:szCs w:val="24"/>
        </w:rPr>
        <w:t>The demonstrated capacity of each parent to communicate with and keep the other parent informed of issues and activities regarding the minor child, and the willingness of each parent to adopt a unified front on all major issues when dealing with the child.</w:t>
      </w:r>
    </w:p>
    <w:p w:rsidR="009E6BEE" w:rsidRDefault="009E6BEE" w:rsidP="009E6BEE">
      <w:pPr>
        <w:shd w:val="clear" w:color="auto" w:fill="FFFFFF"/>
        <w:spacing w:after="0" w:line="360" w:lineRule="atLeast"/>
        <w:ind w:firstLine="200"/>
        <w:rPr>
          <w:rFonts w:ascii="Times New Roman" w:eastAsia="Times New Roman" w:hAnsi="Times New Roman"/>
          <w:sz w:val="24"/>
          <w:szCs w:val="24"/>
        </w:rPr>
      </w:pPr>
      <w:r>
        <w:rPr>
          <w:rFonts w:ascii="Times New Roman" w:eastAsia="Times New Roman" w:hAnsi="Times New Roman"/>
          <w:sz w:val="24"/>
          <w:szCs w:val="24"/>
        </w:rPr>
        <w:t>(m</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w:t>
      </w:r>
      <w:r>
        <w:rPr>
          <w:rFonts w:ascii="Times New Roman" w:eastAsia="Times New Roman" w:hAnsi="Times New Roman"/>
          <w:sz w:val="24"/>
          <w:szCs w:val="24"/>
        </w:rPr>
        <w:t xml:space="preserve">Evidence of domestic violence, sexual violence, child abuse, child abandonment, or child neglect or evidence that a parent has or has had reasonable cause to believe that he or she or his or her minor child or children are in imminent danger of becoming victims of an act of domestic violence, regardless of whether a prior or pending action relating to those issues has been brought. If the court accepts evidence of prior or pending actions regarding domestic violence, sexual violence, child abuse, child abandonment, or child neglect, the court must </w:t>
      </w:r>
      <w:r>
        <w:rPr>
          <w:rFonts w:ascii="Times New Roman" w:eastAsia="Times New Roman" w:hAnsi="Times New Roman"/>
          <w:sz w:val="24"/>
          <w:szCs w:val="24"/>
        </w:rPr>
        <w:lastRenderedPageBreak/>
        <w:t>specifically acknowledge in writing that such evidence was considered when evaluating the best interests of the child.</w:t>
      </w:r>
    </w:p>
    <w:p w:rsidR="009E6BEE" w:rsidRDefault="009E6BEE" w:rsidP="009E6BEE">
      <w:pPr>
        <w:shd w:val="clear" w:color="auto" w:fill="FFFFFF"/>
        <w:spacing w:after="0" w:line="360" w:lineRule="atLeast"/>
        <w:ind w:firstLine="200"/>
        <w:rPr>
          <w:rFonts w:ascii="Times New Roman" w:eastAsia="Times New Roman" w:hAnsi="Times New Roman"/>
          <w:sz w:val="24"/>
          <w:szCs w:val="24"/>
        </w:rPr>
      </w:pPr>
      <w:r>
        <w:rPr>
          <w:rFonts w:ascii="Times New Roman" w:eastAsia="Times New Roman" w:hAnsi="Times New Roman"/>
          <w:sz w:val="24"/>
          <w:szCs w:val="24"/>
        </w:rPr>
        <w:t>(n)</w:t>
      </w:r>
      <w:r>
        <w:rPr>
          <w:rFonts w:ascii="Times New Roman" w:eastAsia="Times New Roman" w:hAnsi="Times New Roman"/>
          <w:sz w:val="24"/>
          <w:szCs w:val="24"/>
        </w:rPr>
        <w:t> </w:t>
      </w:r>
      <w:r>
        <w:rPr>
          <w:rFonts w:ascii="Times New Roman" w:eastAsia="Times New Roman" w:hAnsi="Times New Roman"/>
          <w:sz w:val="24"/>
          <w:szCs w:val="24"/>
        </w:rPr>
        <w:t>Evidence that either parent has knowingly provided false information to the court regarding any prior or pending action regarding domestic violence, sexual violence, child abuse, child abandonment, or child neglect.</w:t>
      </w:r>
    </w:p>
    <w:p w:rsidR="009E6BEE" w:rsidRDefault="009E6BEE" w:rsidP="009E6BEE">
      <w:pPr>
        <w:shd w:val="clear" w:color="auto" w:fill="FFFFFF"/>
        <w:spacing w:after="0" w:line="360" w:lineRule="atLeast"/>
        <w:ind w:firstLine="200"/>
        <w:rPr>
          <w:rFonts w:ascii="Times New Roman" w:eastAsia="Times New Roman" w:hAnsi="Times New Roman"/>
          <w:sz w:val="24"/>
          <w:szCs w:val="24"/>
        </w:rPr>
      </w:pPr>
      <w:r>
        <w:rPr>
          <w:rFonts w:ascii="Times New Roman" w:eastAsia="Times New Roman" w:hAnsi="Times New Roman"/>
          <w:sz w:val="24"/>
          <w:szCs w:val="24"/>
        </w:rPr>
        <w:t>(o)</w:t>
      </w:r>
      <w:r>
        <w:rPr>
          <w:rFonts w:ascii="Times New Roman" w:eastAsia="Times New Roman" w:hAnsi="Times New Roman"/>
          <w:sz w:val="24"/>
          <w:szCs w:val="24"/>
        </w:rPr>
        <w:t> </w:t>
      </w:r>
      <w:r>
        <w:rPr>
          <w:rFonts w:ascii="Times New Roman" w:eastAsia="Times New Roman" w:hAnsi="Times New Roman"/>
          <w:sz w:val="24"/>
          <w:szCs w:val="24"/>
        </w:rPr>
        <w:t>The particular parenting tasks customarily performed by each parent and the division of parental responsibilities before the institution of litigation and during the pending litigation, including the extent to which parenting responsibilities were undertaken by third parties.</w:t>
      </w:r>
    </w:p>
    <w:p w:rsidR="009E6BEE" w:rsidRDefault="009E6BEE" w:rsidP="009E6BEE">
      <w:pPr>
        <w:shd w:val="clear" w:color="auto" w:fill="FFFFFF"/>
        <w:spacing w:after="0" w:line="360" w:lineRule="atLeast"/>
        <w:ind w:firstLine="200"/>
        <w:rPr>
          <w:rFonts w:ascii="Times New Roman" w:eastAsia="Times New Roman" w:hAnsi="Times New Roman"/>
          <w:sz w:val="24"/>
          <w:szCs w:val="24"/>
        </w:rPr>
      </w:pPr>
      <w:r>
        <w:rPr>
          <w:rFonts w:ascii="Times New Roman" w:eastAsia="Times New Roman" w:hAnsi="Times New Roman"/>
          <w:sz w:val="24"/>
          <w:szCs w:val="24"/>
        </w:rPr>
        <w:t>(p</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w:t>
      </w:r>
      <w:r>
        <w:rPr>
          <w:rFonts w:ascii="Times New Roman" w:eastAsia="Times New Roman" w:hAnsi="Times New Roman"/>
          <w:sz w:val="24"/>
          <w:szCs w:val="24"/>
        </w:rPr>
        <w:t>The demonstrated capacity and disposition of each parent to participate and be involved in the child’s school and extracurricular activities.</w:t>
      </w:r>
    </w:p>
    <w:p w:rsidR="009E6BEE" w:rsidRDefault="009E6BEE" w:rsidP="009E6BEE">
      <w:pPr>
        <w:shd w:val="clear" w:color="auto" w:fill="FFFFFF"/>
        <w:spacing w:after="0" w:line="360" w:lineRule="atLeast"/>
        <w:ind w:firstLine="200"/>
        <w:rPr>
          <w:rFonts w:ascii="Times New Roman" w:eastAsia="Times New Roman" w:hAnsi="Times New Roman"/>
          <w:sz w:val="24"/>
          <w:szCs w:val="24"/>
        </w:rPr>
      </w:pPr>
      <w:r>
        <w:rPr>
          <w:rFonts w:ascii="Times New Roman" w:eastAsia="Times New Roman" w:hAnsi="Times New Roman"/>
          <w:sz w:val="24"/>
          <w:szCs w:val="24"/>
        </w:rPr>
        <w:t>(q</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w:t>
      </w:r>
      <w:r>
        <w:rPr>
          <w:rFonts w:ascii="Times New Roman" w:eastAsia="Times New Roman" w:hAnsi="Times New Roman"/>
          <w:sz w:val="24"/>
          <w:szCs w:val="24"/>
        </w:rPr>
        <w:t>The demonstrated capacity and disposition of each parent to maintain an environment for the child which is free from substance abuse.</w:t>
      </w:r>
    </w:p>
    <w:p w:rsidR="009E6BEE" w:rsidRDefault="009E6BEE" w:rsidP="009E6BEE">
      <w:pPr>
        <w:shd w:val="clear" w:color="auto" w:fill="FFFFFF"/>
        <w:spacing w:after="0" w:line="360" w:lineRule="atLeast"/>
        <w:ind w:firstLine="200"/>
        <w:rPr>
          <w:rFonts w:ascii="Times New Roman" w:eastAsia="Times New Roman" w:hAnsi="Times New Roman"/>
          <w:sz w:val="24"/>
          <w:szCs w:val="24"/>
        </w:rPr>
      </w:pPr>
      <w:r>
        <w:rPr>
          <w:rFonts w:ascii="Times New Roman" w:eastAsia="Times New Roman" w:hAnsi="Times New Roman"/>
          <w:sz w:val="24"/>
          <w:szCs w:val="24"/>
        </w:rPr>
        <w:t>(r)</w:t>
      </w:r>
      <w:r>
        <w:rPr>
          <w:rFonts w:ascii="Times New Roman" w:eastAsia="Times New Roman" w:hAnsi="Times New Roman"/>
          <w:sz w:val="24"/>
          <w:szCs w:val="24"/>
        </w:rPr>
        <w:t> </w:t>
      </w:r>
      <w:r>
        <w:rPr>
          <w:rFonts w:ascii="Times New Roman" w:eastAsia="Times New Roman" w:hAnsi="Times New Roman"/>
          <w:sz w:val="24"/>
          <w:szCs w:val="24"/>
        </w:rPr>
        <w:t>The capacity and disposition of each parent to protect the child from the ongoing litigation as demonstrated by not discussing the litigation with the child, not sharing documents or electronic media related to the litigation with the child, and refraining from disparaging comments about the other parent to the child.</w:t>
      </w:r>
    </w:p>
    <w:p w:rsidR="009E6BEE" w:rsidRDefault="009E6BEE" w:rsidP="009E6BEE">
      <w:pPr>
        <w:shd w:val="clear" w:color="auto" w:fill="FFFFFF"/>
        <w:spacing w:after="0" w:line="360" w:lineRule="atLeast"/>
        <w:ind w:firstLine="200"/>
        <w:rPr>
          <w:rFonts w:ascii="Times New Roman" w:eastAsia="Times New Roman" w:hAnsi="Times New Roman"/>
          <w:sz w:val="24"/>
          <w:szCs w:val="24"/>
        </w:rPr>
      </w:pPr>
      <w:r>
        <w:rPr>
          <w:rFonts w:ascii="Times New Roman" w:eastAsia="Times New Roman" w:hAnsi="Times New Roman"/>
          <w:sz w:val="24"/>
          <w:szCs w:val="24"/>
        </w:rPr>
        <w:t>(s</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w:t>
      </w:r>
      <w:r>
        <w:rPr>
          <w:rFonts w:ascii="Times New Roman" w:eastAsia="Times New Roman" w:hAnsi="Times New Roman"/>
          <w:sz w:val="24"/>
          <w:szCs w:val="24"/>
        </w:rPr>
        <w:t>The developmental stages and needs of the child and the demonstrated capacity and disposition of each parent to meet the child’s developmental needs.</w:t>
      </w:r>
    </w:p>
    <w:p w:rsidR="009E6BEE" w:rsidRDefault="009E6BEE" w:rsidP="009E6BEE">
      <w:pPr>
        <w:shd w:val="clear" w:color="auto" w:fill="FFFFFF"/>
        <w:spacing w:after="0" w:line="360" w:lineRule="atLeast"/>
        <w:ind w:firstLine="200"/>
        <w:rPr>
          <w:rFonts w:ascii="Times New Roman" w:eastAsia="Times New Roman" w:hAnsi="Times New Roman"/>
          <w:sz w:val="24"/>
          <w:szCs w:val="24"/>
        </w:rPr>
      </w:pPr>
      <w:r>
        <w:rPr>
          <w:rFonts w:ascii="Times New Roman" w:eastAsia="Times New Roman" w:hAnsi="Times New Roman"/>
          <w:sz w:val="24"/>
          <w:szCs w:val="24"/>
        </w:rPr>
        <w:t>(t</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w:t>
      </w:r>
      <w:r>
        <w:rPr>
          <w:rFonts w:ascii="Times New Roman" w:eastAsia="Times New Roman" w:hAnsi="Times New Roman"/>
          <w:sz w:val="24"/>
          <w:szCs w:val="24"/>
        </w:rPr>
        <w:t>Any other factor that is relevant to the determination of a specific parenting plan, including the time-sharing schedule.</w:t>
      </w:r>
    </w:p>
    <w:p w:rsidR="009E6BEE" w:rsidRDefault="009E6BEE" w:rsidP="009E6BEE">
      <w:pPr>
        <w:pStyle w:val="ListParagraph"/>
        <w:ind w:left="0"/>
        <w:jc w:val="both"/>
      </w:pPr>
    </w:p>
    <w:p w:rsidR="00CC40E9" w:rsidRDefault="000E0421"/>
    <w:sectPr w:rsidR="00CC40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BEE"/>
    <w:rsid w:val="00016CC4"/>
    <w:rsid w:val="000E0421"/>
    <w:rsid w:val="006A710C"/>
    <w:rsid w:val="008B01BD"/>
    <w:rsid w:val="009E6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80194"/>
  <w15:chartTrackingRefBased/>
  <w15:docId w15:val="{C562D2D2-8EBF-43B4-9298-3CD605BF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BE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BEE"/>
    <w:pPr>
      <w:spacing w:after="0" w:line="240" w:lineRule="auto"/>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6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15th Circuit of Florida</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Siperstein</dc:creator>
  <cp:keywords/>
  <dc:description/>
  <cp:lastModifiedBy>Caryn Siperstein</cp:lastModifiedBy>
  <cp:revision>2</cp:revision>
  <dcterms:created xsi:type="dcterms:W3CDTF">2024-03-12T20:09:00Z</dcterms:created>
  <dcterms:modified xsi:type="dcterms:W3CDTF">2024-03-12T20:12:00Z</dcterms:modified>
</cp:coreProperties>
</file>