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A31F" w14:textId="2F5AF8A1"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4AAB106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6C5590">
        <w:rPr>
          <w:bCs/>
          <w:sz w:val="24"/>
          <w:szCs w:val="24"/>
        </w:rPr>
        <w:t>AG</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375EE752" w:rsidR="009859C2" w:rsidRDefault="005C10A8" w:rsidP="00BC46BA">
      <w:pPr>
        <w:pStyle w:val="Level1"/>
        <w:ind w:firstLine="1440"/>
        <w:jc w:val="both"/>
        <w:rPr>
          <w:bCs/>
        </w:rPr>
      </w:pPr>
      <w:r>
        <w:rPr>
          <w:bCs/>
        </w:rPr>
        <w:t xml:space="preserve">Counsel for the parties shall familiarize themselves with all Division </w:t>
      </w:r>
      <w:r w:rsidR="006C5590">
        <w:rPr>
          <w:bCs/>
        </w:rPr>
        <w:t>AG</w:t>
      </w:r>
      <w:r>
        <w:rPr>
          <w:bCs/>
        </w:rPr>
        <w:t>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 xml:space="preserve">Counsel for the parties shall familiarize themselves with the “Division </w:t>
      </w:r>
      <w:r w:rsidR="006C5590">
        <w:rPr>
          <w:bCs/>
        </w:rPr>
        <w:t>AG</w:t>
      </w:r>
      <w:r w:rsidR="009859C2">
        <w:rPr>
          <w:bCs/>
        </w:rPr>
        <w:t>Trial Conduct and Courtroom Decorum Policy”</w:t>
      </w:r>
      <w:r>
        <w:rPr>
          <w:bCs/>
        </w:rPr>
        <w:fldChar w:fldCharType="begin"/>
      </w:r>
      <w:r>
        <w:rPr>
          <w:bCs/>
        </w:rPr>
        <w:instrText xml:space="preserve"> NOTEREF _Ref185488582 \f \h </w:instrText>
      </w:r>
      <w:r>
        <w:rPr>
          <w:bCs/>
        </w:rPr>
      </w:r>
      <w:r>
        <w:rPr>
          <w:bCs/>
        </w:rPr>
        <w:fldChar w:fldCharType="separate"/>
      </w:r>
      <w:r w:rsidR="00F35D03" w:rsidRPr="00F35D03">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1759EA7F"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w:t>
      </w:r>
      <w:r w:rsidR="00D44386">
        <w:rPr>
          <w:sz w:val="24"/>
          <w:szCs w:val="24"/>
        </w:rPr>
        <w:lastRenderedPageBreak/>
        <w:t>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Pr="00984C82" w:rsidRDefault="007F4296" w:rsidP="004A6861">
      <w:pPr>
        <w:numPr>
          <w:ilvl w:val="12"/>
          <w:numId w:val="0"/>
        </w:numPr>
        <w:ind w:firstLine="1440"/>
        <w:jc w:val="both"/>
        <w:rPr>
          <w:sz w:val="24"/>
          <w:szCs w:val="24"/>
        </w:rPr>
      </w:pPr>
      <w:r w:rsidRPr="00984C82">
        <w:rPr>
          <w:sz w:val="24"/>
          <w:szCs w:val="24"/>
        </w:rPr>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lastRenderedPageBreak/>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w:t>
      </w:r>
      <w:r>
        <w:rPr>
          <w:sz w:val="24"/>
          <w:szCs w:val="24"/>
        </w:rPr>
        <w:lastRenderedPageBreak/>
        <w:t>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 xml:space="preserve">the plaintiff(s) has served interrogatories upon the defendant requesting </w:t>
      </w:r>
      <w:r w:rsidR="001C7F05" w:rsidRPr="007B280B">
        <w:rPr>
          <w:sz w:val="24"/>
          <w:szCs w:val="24"/>
        </w:rPr>
        <w:lastRenderedPageBreak/>
        <w:t>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F97A6D5"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7777777" w:rsidR="006617AE" w:rsidRDefault="00D57CB7" w:rsidP="00D75B91">
      <w:pPr>
        <w:pStyle w:val="ListParagraph"/>
        <w:numPr>
          <w:ilvl w:val="0"/>
          <w:numId w:val="2"/>
        </w:numPr>
        <w:tabs>
          <w:tab w:val="clear" w:pos="1080"/>
          <w:tab w:val="num" w:pos="-90"/>
        </w:tabs>
        <w:ind w:left="1440" w:hanging="720"/>
        <w:jc w:val="both"/>
        <w:rPr>
          <w:b/>
          <w:sz w:val="24"/>
          <w:szCs w:val="24"/>
        </w:rPr>
      </w:pPr>
      <w:r w:rsidRPr="006617AE">
        <w:rPr>
          <w:b/>
          <w:i/>
          <w:sz w:val="24"/>
          <w:szCs w:val="24"/>
        </w:rPr>
        <w:t>DAUBERT</w:t>
      </w:r>
      <w:r w:rsidR="006617AE">
        <w:rPr>
          <w:b/>
          <w:sz w:val="24"/>
          <w:szCs w:val="24"/>
        </w:rPr>
        <w:t xml:space="preserve"> OR OTHER EXPERT WITNESS ISSUES. </w:t>
      </w:r>
    </w:p>
    <w:p w14:paraId="4E094095" w14:textId="77777777" w:rsidR="00BF720A" w:rsidRDefault="00BF720A" w:rsidP="00BF720A">
      <w:pPr>
        <w:tabs>
          <w:tab w:val="num" w:pos="-90"/>
        </w:tabs>
        <w:jc w:val="both"/>
        <w:rPr>
          <w:b/>
          <w:sz w:val="24"/>
          <w:szCs w:val="24"/>
        </w:rPr>
      </w:pPr>
    </w:p>
    <w:p w14:paraId="3C9F6E4F" w14:textId="7F251772"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w:t>
      </w:r>
      <w:r w:rsidR="0032416A">
        <w:rPr>
          <w:sz w:val="24"/>
          <w:szCs w:val="24"/>
        </w:rPr>
        <w:t xml:space="preserve"> Type Hearings</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and served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heard 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witness related motion not written with particularity as described above.  </w:t>
      </w: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255178B3"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 xml:space="preserve">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w:t>
      </w:r>
      <w:r w:rsidR="006C5590">
        <w:rPr>
          <w:bCs/>
          <w:sz w:val="24"/>
          <w:szCs w:val="24"/>
        </w:rPr>
        <w:t xml:space="preserve">AG </w:t>
      </w:r>
      <w:r w:rsidR="006F0BE3">
        <w:rPr>
          <w:bCs/>
          <w:sz w:val="24"/>
          <w:szCs w:val="24"/>
        </w:rPr>
        <w:t>Policies and Procedures</w:t>
      </w:r>
      <w:r w:rsidR="00B9480B">
        <w:rPr>
          <w:bCs/>
          <w:sz w:val="24"/>
          <w:szCs w:val="24"/>
        </w:rPr>
        <w:t>”</w:t>
      </w:r>
      <w:r w:rsidR="00B9480B">
        <w:rPr>
          <w:rStyle w:val="FootnoteReference"/>
          <w:bCs/>
          <w:sz w:val="24"/>
          <w:szCs w:val="24"/>
        </w:rPr>
        <w:footnoteReference w:customMarkFollows="1" w:id="5"/>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7F75AC4C" w:rsidR="00971CDB" w:rsidRDefault="007259FC"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DISPOSITIVE </w:t>
      </w:r>
      <w:r w:rsidR="008F6734">
        <w:rPr>
          <w:b/>
          <w:sz w:val="24"/>
          <w:szCs w:val="24"/>
        </w:rPr>
        <w:t>AND SUMMARY JUDGMENT MOTIONS</w:t>
      </w:r>
      <w:r>
        <w:rPr>
          <w:b/>
          <w:sz w:val="24"/>
          <w:szCs w:val="24"/>
        </w:rPr>
        <w:t>.</w:t>
      </w:r>
    </w:p>
    <w:p w14:paraId="172DD912" w14:textId="77777777" w:rsidR="00B05B5C" w:rsidRDefault="00B05B5C" w:rsidP="00B05B5C">
      <w:pPr>
        <w:tabs>
          <w:tab w:val="num" w:pos="-90"/>
        </w:tabs>
        <w:jc w:val="both"/>
        <w:rPr>
          <w:b/>
          <w:sz w:val="24"/>
          <w:szCs w:val="24"/>
        </w:rPr>
      </w:pPr>
    </w:p>
    <w:p w14:paraId="4E1B36D0" w14:textId="13F0161F"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w:t>
      </w:r>
      <w:r w:rsidR="006C5590">
        <w:rPr>
          <w:sz w:val="24"/>
          <w:szCs w:val="24"/>
        </w:rPr>
        <w:t>AG</w:t>
      </w:r>
      <w:r w:rsidR="00DA2072">
        <w:rPr>
          <w:sz w:val="24"/>
          <w:szCs w:val="24"/>
        </w:rPr>
        <w:t>”</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F35D03" w:rsidRPr="00F35D03">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266AE290" w14:textId="6946262F" w:rsidR="00B05B5C" w:rsidRDefault="00B05B5C" w:rsidP="00D75B91">
      <w:pPr>
        <w:pStyle w:val="ListParagraph"/>
        <w:numPr>
          <w:ilvl w:val="0"/>
          <w:numId w:val="2"/>
        </w:numPr>
        <w:tabs>
          <w:tab w:val="clear" w:pos="1080"/>
          <w:tab w:val="num" w:pos="-90"/>
        </w:tabs>
        <w:ind w:left="1440" w:hanging="720"/>
        <w:jc w:val="both"/>
        <w:rPr>
          <w:b/>
          <w:sz w:val="24"/>
          <w:szCs w:val="24"/>
        </w:rPr>
      </w:pPr>
      <w:r>
        <w:rPr>
          <w:b/>
          <w:sz w:val="24"/>
          <w:szCs w:val="24"/>
        </w:rPr>
        <w:t>MOTIONS TO AMEND PLEADINGS</w:t>
      </w:r>
      <w:r w:rsidR="00B9480B">
        <w:rPr>
          <w:b/>
          <w:sz w:val="24"/>
          <w:szCs w:val="24"/>
        </w:rPr>
        <w:t xml:space="preserve"> AND ADDING NEW PARTIES</w:t>
      </w:r>
      <w:r>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w:t>
      </w:r>
      <w:r w:rsidR="000A2AE1">
        <w:rPr>
          <w:sz w:val="24"/>
          <w:szCs w:val="24"/>
        </w:rPr>
        <w:lastRenderedPageBreak/>
        <w:t xml:space="preserve">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4142F54E"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D81A33">
        <w:rPr>
          <w:b/>
          <w:bCs/>
          <w:sz w:val="24"/>
          <w:szCs w:val="24"/>
        </w:rPr>
        <w:t>FIFTY</w:t>
      </w:r>
      <w:r w:rsidR="008F6734" w:rsidRPr="007162C9">
        <w:rPr>
          <w:b/>
          <w:bCs/>
          <w:sz w:val="24"/>
          <w:szCs w:val="24"/>
        </w:rPr>
        <w:t xml:space="preserve"> (1</w:t>
      </w:r>
      <w:r w:rsidR="00D81A33">
        <w:rPr>
          <w:b/>
          <w:bCs/>
          <w:sz w:val="24"/>
          <w:szCs w:val="24"/>
        </w:rPr>
        <w:t>5</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2B3FD5E2" w:rsidR="00BA31D6" w:rsidRDefault="00B7189E" w:rsidP="00D75B91">
      <w:pPr>
        <w:pStyle w:val="ListParagraph"/>
        <w:numPr>
          <w:ilvl w:val="0"/>
          <w:numId w:val="2"/>
        </w:numPr>
        <w:tabs>
          <w:tab w:val="clear" w:pos="1080"/>
          <w:tab w:val="num" w:pos="-90"/>
        </w:tabs>
        <w:ind w:left="1440" w:hanging="720"/>
        <w:jc w:val="both"/>
        <w:rPr>
          <w:b/>
          <w:sz w:val="24"/>
          <w:szCs w:val="24"/>
        </w:rPr>
      </w:pPr>
      <w:r>
        <w:rPr>
          <w:b/>
          <w:sz w:val="24"/>
          <w:szCs w:val="24"/>
        </w:rPr>
        <w:t>MOTIONS IN LIMINE</w:t>
      </w:r>
      <w:r w:rsidR="00D81A33">
        <w:rPr>
          <w:b/>
          <w:sz w:val="24"/>
          <w:szCs w:val="24"/>
        </w:rPr>
        <w:t xml:space="preserve"> AND OTHER PRETRIAL NON-DISPOSITIVE MOTIONS</w:t>
      </w:r>
      <w:r>
        <w:rPr>
          <w:b/>
          <w:sz w:val="24"/>
          <w:szCs w:val="24"/>
        </w:rPr>
        <w:t>.</w:t>
      </w:r>
    </w:p>
    <w:p w14:paraId="178A982D" w14:textId="77777777" w:rsidR="00B7189E" w:rsidRDefault="00B7189E" w:rsidP="00B7189E">
      <w:pPr>
        <w:tabs>
          <w:tab w:val="num" w:pos="-90"/>
        </w:tabs>
        <w:jc w:val="both"/>
        <w:rPr>
          <w:b/>
          <w:sz w:val="24"/>
          <w:szCs w:val="24"/>
        </w:rPr>
      </w:pPr>
    </w:p>
    <w:p w14:paraId="3AFCB36A" w14:textId="6AE7C8BA"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r w:rsidR="00B7189E" w:rsidRPr="00D81A33">
        <w:rPr>
          <w:b/>
          <w:bCs/>
          <w:i/>
          <w:sz w:val="24"/>
          <w:szCs w:val="24"/>
        </w:rPr>
        <w:t>Limine</w:t>
      </w:r>
      <w:r w:rsidR="00B7189E">
        <w:rPr>
          <w:sz w:val="24"/>
          <w:szCs w:val="24"/>
        </w:rPr>
        <w:t xml:space="preserve"> </w:t>
      </w:r>
      <w:r w:rsidR="009164FF">
        <w:rPr>
          <w:sz w:val="24"/>
          <w:szCs w:val="24"/>
        </w:rPr>
        <w:t xml:space="preserve">shall be filed, served, </w:t>
      </w:r>
      <w:r w:rsidR="00B943A3">
        <w:rPr>
          <w:sz w:val="24"/>
          <w:szCs w:val="24"/>
        </w:rPr>
        <w:t>noticed</w:t>
      </w:r>
      <w:r w:rsidR="009164FF">
        <w:rPr>
          <w:sz w:val="24"/>
          <w:szCs w:val="24"/>
        </w:rPr>
        <w:t xml:space="preserve"> and </w:t>
      </w:r>
      <w:r w:rsidR="00D81A33">
        <w:rPr>
          <w:sz w:val="24"/>
          <w:szCs w:val="24"/>
        </w:rPr>
        <w:t xml:space="preserve">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w:t>
      </w:r>
      <w:r w:rsidR="006C5590">
        <w:rPr>
          <w:sz w:val="24"/>
          <w:szCs w:val="24"/>
        </w:rPr>
        <w:t xml:space="preserve">AG </w:t>
      </w:r>
      <w:r w:rsidR="00D44386">
        <w:rPr>
          <w:sz w:val="24"/>
          <w:szCs w:val="24"/>
        </w:rPr>
        <w:t>Policies and Procedures</w:t>
      </w:r>
      <w:r w:rsidR="008142EC">
        <w:rPr>
          <w:sz w:val="24"/>
          <w:szCs w:val="24"/>
        </w:rPr>
        <w:t>”</w:t>
      </w:r>
      <w:r w:rsidR="00D81A33">
        <w:rPr>
          <w:rStyle w:val="FootnoteReference"/>
          <w:sz w:val="24"/>
          <w:szCs w:val="24"/>
        </w:rPr>
        <w:footnoteReference w:customMarkFollows="1" w:id="6"/>
        <w:t>1</w:t>
      </w:r>
      <w:r w:rsidR="008142EC">
        <w:rPr>
          <w:sz w:val="24"/>
          <w:szCs w:val="24"/>
        </w:rPr>
        <w:t xml:space="preserve"> related to “Motions in Limine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D81A33" w:rsidRPr="00D81A33">
        <w:rPr>
          <w:b/>
          <w:bCs/>
          <w:sz w:val="24"/>
          <w:szCs w:val="24"/>
        </w:rPr>
        <w:t>Non-Dispositive Pretrial Motions</w:t>
      </w:r>
      <w:r w:rsidR="00D81A33">
        <w:rPr>
          <w:sz w:val="24"/>
          <w:szCs w:val="24"/>
        </w:rPr>
        <w:t xml:space="preserve">, other than those pretrial motions governed by paragraphs 11, 13, 17, 19, 20, 21, 22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C2262E0"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DEADLINE FOR 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531EC68A"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limine) shall be filed, served, noticed, and heard 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w:t>
      </w:r>
      <w:r>
        <w:rPr>
          <w:sz w:val="24"/>
          <w:szCs w:val="24"/>
        </w:rPr>
        <w:lastRenderedPageBreak/>
        <w:t xml:space="preserve">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 xml:space="preserve">Division </w:t>
      </w:r>
      <w:r w:rsidR="006C5590">
        <w:rPr>
          <w:i/>
          <w:iCs/>
          <w:sz w:val="24"/>
          <w:szCs w:val="24"/>
        </w:rPr>
        <w:t>AG</w:t>
      </w:r>
      <w:r w:rsidRPr="009253B4">
        <w:rPr>
          <w:i/>
          <w:iCs/>
          <w:sz w:val="24"/>
          <w:szCs w:val="24"/>
        </w:rPr>
        <w:t>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7"/>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F35D03" w:rsidRPr="00F35D03">
        <w:rPr>
          <w:rStyle w:val="FootnoteReference"/>
        </w:rPr>
        <w:t>1</w:t>
      </w:r>
      <w:r w:rsidR="009253B4">
        <w:rPr>
          <w:sz w:val="24"/>
          <w:szCs w:val="24"/>
        </w:rPr>
        <w:fldChar w:fldCharType="end"/>
      </w:r>
      <w:r>
        <w:rPr>
          <w:sz w:val="24"/>
          <w:szCs w:val="24"/>
        </w:rPr>
        <w:t xml:space="preserve"> to draft either an “Agreed Order” or a </w:t>
      </w:r>
      <w:r w:rsidR="005501B4">
        <w:rPr>
          <w:sz w:val="24"/>
          <w:szCs w:val="24"/>
        </w:rPr>
        <w:t xml:space="preserve">single </w:t>
      </w:r>
      <w:r>
        <w:rPr>
          <w:sz w:val="24"/>
          <w:szCs w:val="24"/>
        </w:rPr>
        <w:t xml:space="preserve">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D851081" w:rsidR="00D81A33" w:rsidRPr="009253B4" w:rsidRDefault="009253B4" w:rsidP="001F340B">
      <w:pPr>
        <w:pStyle w:val="ListParagraph"/>
        <w:numPr>
          <w:ilvl w:val="0"/>
          <w:numId w:val="2"/>
        </w:numPr>
        <w:tabs>
          <w:tab w:val="clear" w:pos="1080"/>
          <w:tab w:val="num" w:pos="-90"/>
        </w:tabs>
        <w:ind w:left="720" w:firstLine="0"/>
        <w:jc w:val="both"/>
        <w:rPr>
          <w:b/>
          <w:bCs/>
          <w:sz w:val="24"/>
          <w:szCs w:val="24"/>
        </w:rPr>
      </w:pPr>
      <w:r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4E7E2356" w:rsidR="009253B4" w:rsidRPr="009253B4" w:rsidRDefault="009253B4" w:rsidP="009253B4">
      <w:pPr>
        <w:ind w:firstLine="1440"/>
        <w:jc w:val="both"/>
        <w:rPr>
          <w:sz w:val="24"/>
          <w:szCs w:val="24"/>
        </w:rPr>
      </w:pPr>
      <w:r>
        <w:rPr>
          <w:sz w:val="24"/>
          <w:szCs w:val="24"/>
        </w:rPr>
        <w:t xml:space="preserve">All objections to pleadings must be filed, served, noticed and resolved by hearing or agreed to by the parties </w:t>
      </w:r>
      <w:r w:rsidRPr="009253B4">
        <w:rPr>
          <w:b/>
          <w:bCs/>
          <w:sz w:val="24"/>
          <w:szCs w:val="24"/>
        </w:rPr>
        <w:t>no later than ONE HUNDRED TWENTY (120) DAYS</w:t>
      </w:r>
      <w:r>
        <w:rPr>
          <w:sz w:val="24"/>
          <w:szCs w:val="24"/>
        </w:rPr>
        <w:t xml:space="preserve"> after service of the Complaint. </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593A533"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w:t>
      </w:r>
      <w:r w:rsidR="006C5590">
        <w:rPr>
          <w:sz w:val="24"/>
          <w:szCs w:val="24"/>
        </w:rPr>
        <w:t>AG</w:t>
      </w:r>
      <w:r w:rsidR="00BE7C47">
        <w:rPr>
          <w:sz w:val="24"/>
          <w:szCs w:val="24"/>
        </w:rPr>
        <w:t>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F35D03" w:rsidRPr="00F35D03">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174F0E39"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w:t>
      </w:r>
      <w:r w:rsidR="0013193D">
        <w:rPr>
          <w:sz w:val="24"/>
          <w:szCs w:val="24"/>
        </w:rPr>
        <w:lastRenderedPageBreak/>
        <w:t>designations and counter-</w:t>
      </w:r>
      <w:r w:rsidR="00CF1A9D">
        <w:rPr>
          <w:sz w:val="24"/>
          <w:szCs w:val="24"/>
        </w:rPr>
        <w:t xml:space="preserve">counter-designations, if necessary.  The parties shall comply with the Division </w:t>
      </w:r>
      <w:r w:rsidR="006C5590">
        <w:rPr>
          <w:sz w:val="24"/>
          <w:szCs w:val="24"/>
        </w:rPr>
        <w:t>AG</w:t>
      </w:r>
      <w:r w:rsidR="00CF1A9D">
        <w:rPr>
          <w:sz w:val="24"/>
          <w:szCs w:val="24"/>
        </w:rPr>
        <w:t>“Meet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8"/>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BBD1947" w14:textId="54FC32AB" w:rsidR="009D3C84"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7CBC190D"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9"/>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0"/>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F35D03" w:rsidRPr="00F35D03">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Pr="00067B0A" w:rsidRDefault="00A106B6" w:rsidP="00067B0A">
      <w:pPr>
        <w:tabs>
          <w:tab w:val="num" w:pos="-90"/>
        </w:tabs>
        <w:jc w:val="both"/>
        <w:rPr>
          <w:b/>
          <w:sz w:val="24"/>
          <w:szCs w:val="24"/>
        </w:rPr>
      </w:pP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79DB5D24"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DA2072" w:rsidRPr="00DA2072">
        <w:rPr>
          <w:b/>
          <w:bCs/>
          <w:sz w:val="24"/>
          <w:szCs w:val="24"/>
        </w:rPr>
        <w:t>ONE HUNDRED TWENTY (120)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 xml:space="preserve">mediation proceeding be conducted by communication technology as that term is defined in Florida Rule of General Practice and Judicial Administration 2.530 or by a combination of communication technology and in-person participation, the party objecting to using </w:t>
      </w:r>
      <w:r w:rsidR="00C017BF">
        <w:rPr>
          <w:sz w:val="24"/>
          <w:szCs w:val="24"/>
        </w:rPr>
        <w:lastRenderedPageBreak/>
        <w:t>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1E021196"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1"/>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F35D03" w:rsidRPr="00F35D03">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6589AB94" w14:textId="77777777" w:rsidR="00592507" w:rsidRDefault="00592507" w:rsidP="00FD6B73">
      <w:pPr>
        <w:pStyle w:val="BodyTextIndent2"/>
        <w:ind w:left="1440" w:firstLine="0"/>
        <w:rPr>
          <w:b/>
          <w:bCs/>
          <w:sz w:val="24"/>
          <w:szCs w:val="24"/>
        </w:rPr>
      </w:pP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42FA98B" w14:textId="77777777" w:rsidR="006400F1" w:rsidRDefault="006400F1" w:rsidP="006400F1">
      <w:pPr>
        <w:pStyle w:val="ListParagraph"/>
        <w:rPr>
          <w:sz w:val="24"/>
          <w:szCs w:val="24"/>
        </w:rPr>
      </w:pPr>
    </w:p>
    <w:p w14:paraId="6C3C665B" w14:textId="3AE98068" w:rsidR="006400F1" w:rsidRDefault="006400F1" w:rsidP="00592507">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P..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lastRenderedPageBreak/>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71F94151" w14:textId="77777777" w:rsidR="005146B0" w:rsidRPr="00984C82" w:rsidRDefault="004816AD" w:rsidP="005146B0">
      <w:pPr>
        <w:numPr>
          <w:ilvl w:val="12"/>
          <w:numId w:val="0"/>
        </w:numPr>
        <w:ind w:left="3600" w:firstLine="720"/>
        <w:jc w:val="both"/>
        <w:rPr>
          <w:b/>
          <w:bCs/>
          <w:sz w:val="24"/>
          <w:szCs w:val="24"/>
        </w:rPr>
      </w:pPr>
      <w:bookmarkStart w:id="4" w:name="_GoBack"/>
      <w:bookmarkEnd w:id="4"/>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17CF0CEC" w14:textId="77777777" w:rsidR="00ED5BB6" w:rsidRDefault="00ED5BB6" w:rsidP="003F1B0B">
      <w:pPr>
        <w:numPr>
          <w:ilvl w:val="12"/>
          <w:numId w:val="0"/>
        </w:numPr>
        <w:jc w:val="both"/>
        <w:rPr>
          <w:bCs/>
          <w:sz w:val="24"/>
          <w:szCs w:val="24"/>
        </w:rPr>
      </w:pPr>
    </w:p>
    <w:p w14:paraId="79528D59" w14:textId="77777777" w:rsidR="00F13DA3" w:rsidRDefault="00F13DA3" w:rsidP="003F1B0B">
      <w:pPr>
        <w:numPr>
          <w:ilvl w:val="12"/>
          <w:numId w:val="0"/>
        </w:numPr>
        <w:jc w:val="both"/>
        <w:rPr>
          <w:bCs/>
          <w:sz w:val="24"/>
          <w:szCs w:val="24"/>
        </w:rPr>
      </w:pP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253148"/>
      <w:docPartObj>
        <w:docPartGallery w:val="Page Numbers (Bottom of Page)"/>
        <w:docPartUnique/>
      </w:docPartObj>
    </w:sdtPr>
    <w:sdtEndPr>
      <w:rPr>
        <w:noProof/>
        <w:sz w:val="24"/>
        <w:szCs w:val="24"/>
      </w:rPr>
    </w:sdtEndPr>
    <w:sdtContent>
      <w:p w14:paraId="385AD011" w14:textId="5FEA9341"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4B5023">
          <w:rPr>
            <w:noProof/>
            <w:sz w:val="24"/>
            <w:szCs w:val="24"/>
          </w:rPr>
          <w:t>14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15A49EEE" w:rsidR="005C10A8" w:rsidRDefault="005C10A8">
      <w:pPr>
        <w:pStyle w:val="FootnoteText"/>
      </w:pPr>
      <w:r>
        <w:rPr>
          <w:rStyle w:val="FootnoteReference"/>
        </w:rPr>
        <w:footnoteRef/>
      </w:r>
      <w:r w:rsidR="0032416A">
        <w:t xml:space="preserve"> See website</w:t>
      </w:r>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11A8D510" w:rsidR="004A6861" w:rsidRDefault="004A6861">
      <w:pPr>
        <w:pStyle w:val="FootnoteText"/>
      </w:pPr>
      <w:r>
        <w:rPr>
          <w:rStyle w:val="FootnoteReference"/>
        </w:rPr>
        <w:t>1</w:t>
      </w:r>
      <w:r>
        <w:t xml:space="preserve"> See website: </w:t>
      </w:r>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100E0F89" w14:textId="0A12C35A" w:rsidR="00B9480B" w:rsidRDefault="00B9480B">
      <w:pPr>
        <w:pStyle w:val="FootnoteText"/>
      </w:pPr>
      <w:r>
        <w:rPr>
          <w:rStyle w:val="FootnoteReference"/>
        </w:rPr>
        <w:t>1</w:t>
      </w:r>
      <w:r>
        <w:t xml:space="preserve"> See website:  </w:t>
      </w:r>
      <w:hyperlink r:id="rId1" w:history="1">
        <w:r>
          <w:rPr>
            <w:rStyle w:val="Hyperlink"/>
          </w:rPr>
          <w:t>https://www.jud4.org/Ex-Parte-Procedures-and-Dates</w:t>
        </w:r>
      </w:hyperlink>
    </w:p>
  </w:footnote>
  <w:footnote w:id="6">
    <w:p w14:paraId="5F922CFD" w14:textId="267F178D" w:rsidR="00D81A33" w:rsidRDefault="00D81A33">
      <w:pPr>
        <w:pStyle w:val="FootnoteText"/>
      </w:pPr>
      <w:r>
        <w:rPr>
          <w:rStyle w:val="FootnoteReference"/>
        </w:rPr>
        <w:t>1</w:t>
      </w:r>
      <w:r>
        <w:t xml:space="preserve"> See website:  </w:t>
      </w:r>
      <w:hyperlink r:id="rId2" w:history="1">
        <w:r>
          <w:rPr>
            <w:rStyle w:val="Hyperlink"/>
          </w:rPr>
          <w:t>https://www.jud4.org/Ex-Parte-Procedures-and-Dates</w:t>
        </w:r>
      </w:hyperlink>
    </w:p>
  </w:footnote>
  <w:footnote w:id="7">
    <w:p w14:paraId="4E245DB5" w14:textId="1A99EEC0" w:rsidR="009253B4" w:rsidRDefault="009253B4">
      <w:pPr>
        <w:pStyle w:val="FootnoteText"/>
      </w:pPr>
      <w:r>
        <w:rPr>
          <w:rStyle w:val="FootnoteReference"/>
        </w:rPr>
        <w:t>1</w:t>
      </w:r>
      <w:r>
        <w:t xml:space="preserve"> </w:t>
      </w:r>
      <w:r w:rsidR="00D976DF">
        <w:t xml:space="preserve">See website:  </w:t>
      </w:r>
      <w:hyperlink r:id="rId3" w:history="1">
        <w:r w:rsidR="00D976DF">
          <w:rPr>
            <w:rStyle w:val="Hyperlink"/>
          </w:rPr>
          <w:t>https://www.jud4.org/Ex-Parte-Procedures-and-Dates</w:t>
        </w:r>
      </w:hyperlink>
    </w:p>
  </w:footnote>
  <w:footnote w:id="8">
    <w:p w14:paraId="7F2175E1" w14:textId="745493DD" w:rsidR="00D976DF" w:rsidRDefault="00D976DF">
      <w:pPr>
        <w:pStyle w:val="FootnoteText"/>
      </w:pPr>
      <w:r>
        <w:rPr>
          <w:rStyle w:val="FootnoteReference"/>
        </w:rPr>
        <w:t>1</w:t>
      </w:r>
      <w:r>
        <w:t xml:space="preserve"> See website: </w:t>
      </w:r>
    </w:p>
  </w:footnote>
  <w:footnote w:id="9">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0">
    <w:p w14:paraId="09C1F9E3" w14:textId="6F33A1E8" w:rsidR="00F5645A" w:rsidRDefault="00F5645A">
      <w:pPr>
        <w:pStyle w:val="FootnoteText"/>
      </w:pPr>
      <w:r>
        <w:rPr>
          <w:rStyle w:val="FootnoteReference"/>
        </w:rPr>
        <w:t>1</w:t>
      </w:r>
      <w:r>
        <w:t xml:space="preserve"> See website: </w:t>
      </w:r>
    </w:p>
  </w:footnote>
  <w:footnote w:id="11">
    <w:p w14:paraId="203B1941" w14:textId="679911A0" w:rsidR="005D2E95" w:rsidRDefault="005D2E95">
      <w:pPr>
        <w:pStyle w:val="FootnoteText"/>
      </w:pPr>
      <w:r>
        <w:rPr>
          <w:rStyle w:val="FootnoteReference"/>
        </w:rPr>
        <w:t>1</w:t>
      </w:r>
      <w:r>
        <w:t xml:space="preserve"> See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2213"/>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2416A"/>
    <w:rsid w:val="003320A2"/>
    <w:rsid w:val="003321FB"/>
    <w:rsid w:val="00333AFA"/>
    <w:rsid w:val="0034336E"/>
    <w:rsid w:val="003475A7"/>
    <w:rsid w:val="003530D7"/>
    <w:rsid w:val="00354F10"/>
    <w:rsid w:val="003649D7"/>
    <w:rsid w:val="0036583A"/>
    <w:rsid w:val="003720C3"/>
    <w:rsid w:val="003728BB"/>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6287A"/>
    <w:rsid w:val="0047303D"/>
    <w:rsid w:val="004816AD"/>
    <w:rsid w:val="0048425F"/>
    <w:rsid w:val="0048791B"/>
    <w:rsid w:val="004977BF"/>
    <w:rsid w:val="00497853"/>
    <w:rsid w:val="004A4B6D"/>
    <w:rsid w:val="004A6861"/>
    <w:rsid w:val="004B5023"/>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01B4"/>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C5590"/>
    <w:rsid w:val="006C799C"/>
    <w:rsid w:val="006D3D89"/>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E373D"/>
    <w:rsid w:val="007F1EEA"/>
    <w:rsid w:val="007F4296"/>
    <w:rsid w:val="00800F7D"/>
    <w:rsid w:val="008041E2"/>
    <w:rsid w:val="00805E91"/>
    <w:rsid w:val="00810F5A"/>
    <w:rsid w:val="008113A2"/>
    <w:rsid w:val="008142EC"/>
    <w:rsid w:val="00816468"/>
    <w:rsid w:val="008354FF"/>
    <w:rsid w:val="00850B8C"/>
    <w:rsid w:val="008539ED"/>
    <w:rsid w:val="00860DD1"/>
    <w:rsid w:val="008807BB"/>
    <w:rsid w:val="00890A11"/>
    <w:rsid w:val="00893ED8"/>
    <w:rsid w:val="0089418A"/>
    <w:rsid w:val="008A2399"/>
    <w:rsid w:val="008B1ED0"/>
    <w:rsid w:val="008B344F"/>
    <w:rsid w:val="008B4F30"/>
    <w:rsid w:val="008C5E40"/>
    <w:rsid w:val="008C6E43"/>
    <w:rsid w:val="008D1F3D"/>
    <w:rsid w:val="008E7ECF"/>
    <w:rsid w:val="008F40F8"/>
    <w:rsid w:val="008F6734"/>
    <w:rsid w:val="009001A5"/>
    <w:rsid w:val="00902B53"/>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5B40"/>
    <w:rsid w:val="00AE0433"/>
    <w:rsid w:val="00AE2340"/>
    <w:rsid w:val="00AF0F68"/>
    <w:rsid w:val="00AF1769"/>
    <w:rsid w:val="00B05B5C"/>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C632F"/>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79FD"/>
    <w:rsid w:val="00E573CD"/>
    <w:rsid w:val="00E62533"/>
    <w:rsid w:val="00E74219"/>
    <w:rsid w:val="00E750F1"/>
    <w:rsid w:val="00E818DB"/>
    <w:rsid w:val="00E8214A"/>
    <w:rsid w:val="00E87993"/>
    <w:rsid w:val="00E90D54"/>
    <w:rsid w:val="00E91CD5"/>
    <w:rsid w:val="00E96173"/>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FE776-4561-45CD-92BD-3835E3B1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5997</Words>
  <Characters>34188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Caryn Siperstein</cp:lastModifiedBy>
  <cp:revision>2</cp:revision>
  <cp:lastPrinted>2024-12-20T19:06:00Z</cp:lastPrinted>
  <dcterms:created xsi:type="dcterms:W3CDTF">2024-12-29T15:27:00Z</dcterms:created>
  <dcterms:modified xsi:type="dcterms:W3CDTF">2024-12-29T15:27:00Z</dcterms:modified>
</cp:coreProperties>
</file>